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widowControl w:val="0"/>
        <w:spacing w:after="200" w:line="240" w:lineRule="auto"/>
        <w:contextualSpacing w:val="0"/>
        <w:rPr>
          <w:rFonts w:ascii="Helvetica Neue" w:cs="Helvetica Neue" w:eastAsia="Helvetica Neue" w:hAnsi="Helvetica Neue"/>
          <w:b w:val="1"/>
          <w:i w:val="1"/>
          <w:color w:val="40a7ad"/>
          <w:sz w:val="28"/>
          <w:szCs w:val="28"/>
        </w:rPr>
      </w:pPr>
      <w:bookmarkStart w:colFirst="0" w:colLast="0" w:name="_6aifkgtjlgk9" w:id="0"/>
      <w:bookmarkEnd w:id="0"/>
      <w:r w:rsidDel="00000000" w:rsidR="00000000" w:rsidRPr="00000000">
        <w:rPr>
          <w:rFonts w:ascii="Helvetica Neue" w:cs="Helvetica Neue" w:eastAsia="Helvetica Neue" w:hAnsi="Helvetica Neue"/>
          <w:b w:val="1"/>
          <w:color w:val="40a7ad"/>
          <w:sz w:val="28"/>
          <w:szCs w:val="28"/>
          <w:rtl w:val="0"/>
        </w:rPr>
        <w:t xml:space="preserve">Power System Services from New Sources and Technologies</w:t>
        <w:br w:type="textWrapping"/>
      </w:r>
      <w:r w:rsidDel="00000000" w:rsidR="00000000" w:rsidRPr="00000000">
        <w:rPr>
          <w:rFonts w:ascii="Helvetica Neue" w:cs="Helvetica Neue" w:eastAsia="Helvetica Neue" w:hAnsi="Helvetica Neue"/>
          <w:b w:val="1"/>
          <w:color w:val="40a7ad"/>
          <w:sz w:val="28"/>
          <w:szCs w:val="28"/>
          <w:rtl w:val="0"/>
        </w:rPr>
        <w:t xml:space="preserve">F</w:t>
      </w:r>
      <w:r w:rsidDel="00000000" w:rsidR="00000000" w:rsidRPr="00000000">
        <w:rPr>
          <w:rFonts w:ascii="Helvetica Neue" w:cs="Helvetica Neue" w:eastAsia="Helvetica Neue" w:hAnsi="Helvetica Neue"/>
          <w:b w:val="1"/>
          <w:color w:val="40a7ad"/>
          <w:sz w:val="28"/>
          <w:szCs w:val="28"/>
          <w:rtl w:val="0"/>
        </w:rPr>
        <w:t xml:space="preserve">unding </w:t>
      </w:r>
      <w:r w:rsidDel="00000000" w:rsidR="00000000" w:rsidRPr="00000000">
        <w:rPr>
          <w:rFonts w:ascii="Helvetica Neue" w:cs="Helvetica Neue" w:eastAsia="Helvetica Neue" w:hAnsi="Helvetica Neue"/>
          <w:b w:val="1"/>
          <w:color w:val="40a7ad"/>
          <w:sz w:val="28"/>
          <w:szCs w:val="28"/>
          <w:rtl w:val="0"/>
        </w:rPr>
        <w:t xml:space="preserve">A</w:t>
      </w:r>
      <w:r w:rsidDel="00000000" w:rsidR="00000000" w:rsidRPr="00000000">
        <w:rPr>
          <w:rFonts w:ascii="Helvetica Neue" w:cs="Helvetica Neue" w:eastAsia="Helvetica Neue" w:hAnsi="Helvetica Neue"/>
          <w:b w:val="1"/>
          <w:color w:val="40a7ad"/>
          <w:sz w:val="28"/>
          <w:szCs w:val="28"/>
          <w:rtl w:val="0"/>
        </w:rPr>
        <w:t xml:space="preserve">nnouncement</w:t>
      </w:r>
      <w:r w:rsidDel="00000000" w:rsidR="00000000" w:rsidRPr="00000000">
        <w:rPr>
          <w:rtl w:val="0"/>
        </w:rPr>
      </w:r>
    </w:p>
    <w:p w:rsidR="00000000" w:rsidDel="00000000" w:rsidP="00000000" w:rsidRDefault="00000000" w:rsidRPr="00000000" w14:paraId="00000001">
      <w:pPr>
        <w:widowControl w:val="0"/>
        <w:spacing w:after="80" w:before="80" w:line="240" w:lineRule="auto"/>
        <w:contextualSpacing w:val="0"/>
        <w:jc w:val="both"/>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ARENA is seeking applications for </w:t>
      </w:r>
      <w:r w:rsidDel="00000000" w:rsidR="00000000" w:rsidRPr="00000000">
        <w:rPr>
          <w:rFonts w:ascii="Helvetica Neue" w:cs="Helvetica Neue" w:eastAsia="Helvetica Neue" w:hAnsi="Helvetica Neue"/>
          <w:color w:val="434343"/>
          <w:rtl w:val="0"/>
        </w:rPr>
        <w:t xml:space="preserve">p</w:t>
      </w:r>
      <w:r w:rsidDel="00000000" w:rsidR="00000000" w:rsidRPr="00000000">
        <w:rPr>
          <w:rFonts w:ascii="Helvetica Neue" w:cs="Helvetica Neue" w:eastAsia="Helvetica Neue" w:hAnsi="Helvetica Neue"/>
          <w:color w:val="434343"/>
          <w:rtl w:val="0"/>
        </w:rPr>
        <w:t xml:space="preserve">rojects focussed on the provision of power system services from innovative methods or technologies that are non-traditional sources of those services. Methods and technologies must be applicable to electricity system scenarios with high shares of renewable energy. </w:t>
      </w:r>
    </w:p>
    <w:p w:rsidR="00000000" w:rsidDel="00000000" w:rsidP="00000000" w:rsidRDefault="00000000" w:rsidRPr="00000000" w14:paraId="00000002">
      <w:pPr>
        <w:widowControl w:val="0"/>
        <w:spacing w:after="80" w:before="80" w:line="240" w:lineRule="auto"/>
        <w:contextualSpacing w:val="0"/>
        <w:jc w:val="both"/>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03">
      <w:pPr>
        <w:widowControl w:val="0"/>
        <w:spacing w:after="80" w:before="8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434343"/>
          <w:rtl w:val="0"/>
        </w:rPr>
        <w:t xml:space="preserve">All applicants must submit an EOI</w:t>
      </w:r>
      <w:r w:rsidDel="00000000" w:rsidR="00000000" w:rsidRPr="00000000">
        <w:rPr>
          <w:rFonts w:ascii="Helvetica Neue" w:cs="Helvetica Neue" w:eastAsia="Helvetica Neue" w:hAnsi="Helvetica Neue"/>
          <w:color w:val="434343"/>
          <w:rtl w:val="0"/>
        </w:rPr>
        <w:t xml:space="preserve">. ARENA will assess applications for funding under its </w:t>
      </w:r>
      <w:r w:rsidDel="00000000" w:rsidR="00000000" w:rsidRPr="00000000">
        <w:rPr>
          <w:rFonts w:ascii="Helvetica Neue" w:cs="Helvetica Neue" w:eastAsia="Helvetica Neue" w:hAnsi="Helvetica Neue"/>
          <w:color w:val="434343"/>
          <w:rtl w:val="0"/>
        </w:rPr>
        <w:t xml:space="preserve">Advancing Renewables Program (ARP)</w:t>
      </w:r>
      <w:r w:rsidDel="00000000" w:rsidR="00000000" w:rsidRPr="00000000">
        <w:rPr>
          <w:rFonts w:ascii="Helvetica Neue" w:cs="Helvetica Neue" w:eastAsia="Helvetica Neue" w:hAnsi="Helvetica Neue"/>
          <w:color w:val="434343"/>
          <w:rtl w:val="0"/>
        </w:rPr>
        <w:t xml:space="preserve">. This Funding Announcement should be read in conjunction with the </w:t>
      </w:r>
      <w:hyperlink r:id="rId7">
        <w:r w:rsidDel="00000000" w:rsidR="00000000" w:rsidRPr="00000000">
          <w:rPr>
            <w:rFonts w:ascii="Helvetica Neue" w:cs="Helvetica Neue" w:eastAsia="Helvetica Neue" w:hAnsi="Helvetica Neue"/>
            <w:color w:val="1155cc"/>
            <w:u w:val="single"/>
            <w:rtl w:val="0"/>
          </w:rPr>
          <w:t xml:space="preserve">ARP Guidelines</w:t>
        </w:r>
      </w:hyperlink>
      <w:r w:rsidDel="00000000" w:rsidR="00000000" w:rsidRPr="00000000">
        <w:rPr>
          <w:rFonts w:ascii="Helvetica Neue" w:cs="Helvetica Neue" w:eastAsia="Helvetica Neue" w:hAnsi="Helvetica Neue"/>
          <w:color w:val="434343"/>
          <w:rtl w:val="0"/>
        </w:rPr>
        <w:t xml:space="preserve">. ARENA invites organisations with projects that fit within the scope described below to lodge an EOI through the</w:t>
      </w:r>
      <w:r w:rsidDel="00000000" w:rsidR="00000000" w:rsidRPr="00000000">
        <w:rPr>
          <w:rFonts w:ascii="Helvetica Neue" w:cs="Helvetica Neue" w:eastAsia="Helvetica Neue" w:hAnsi="Helvetica Neue"/>
          <w:rtl w:val="0"/>
        </w:rPr>
        <w:t xml:space="preserve"> </w:t>
      </w:r>
      <w:hyperlink r:id="rId8">
        <w:r w:rsidDel="00000000" w:rsidR="00000000" w:rsidRPr="00000000">
          <w:rPr>
            <w:rFonts w:ascii="Helvetica Neue" w:cs="Helvetica Neue" w:eastAsia="Helvetica Neue" w:hAnsi="Helvetica Neue"/>
            <w:color w:val="1155cc"/>
            <w:u w:val="single"/>
            <w:rtl w:val="0"/>
          </w:rPr>
          <w:t xml:space="preserve">ARENANet Grants Management System</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04">
      <w:pPr>
        <w:pStyle w:val="Heading2"/>
        <w:ind w:left="0" w:firstLine="0"/>
        <w:contextualSpacing w:val="0"/>
        <w:rPr>
          <w:rFonts w:ascii="Helvetica Neue" w:cs="Helvetica Neue" w:eastAsia="Helvetica Neue" w:hAnsi="Helvetica Neue"/>
          <w:b w:val="1"/>
          <w:color w:val="40a7ad"/>
          <w:sz w:val="28"/>
          <w:szCs w:val="28"/>
        </w:rPr>
      </w:pPr>
      <w:bookmarkStart w:colFirst="0" w:colLast="0" w:name="_4y2045r3ui42" w:id="1"/>
      <w:bookmarkEnd w:id="1"/>
      <w:r w:rsidDel="00000000" w:rsidR="00000000" w:rsidRPr="00000000">
        <w:rPr>
          <w:rFonts w:ascii="Helvetica Neue" w:cs="Helvetica Neue" w:eastAsia="Helvetica Neue" w:hAnsi="Helvetica Neue"/>
          <w:b w:val="1"/>
          <w:color w:val="40a7ad"/>
          <w:sz w:val="28"/>
          <w:szCs w:val="28"/>
          <w:rtl w:val="0"/>
        </w:rPr>
        <w:t xml:space="preserve">Key Informatio</w:t>
      </w:r>
      <w:r w:rsidDel="00000000" w:rsidR="00000000" w:rsidRPr="00000000">
        <w:rPr>
          <w:rFonts w:ascii="Helvetica Neue" w:cs="Helvetica Neue" w:eastAsia="Helvetica Neue" w:hAnsi="Helvetica Neue"/>
          <w:b w:val="1"/>
          <w:color w:val="40a7ad"/>
          <w:sz w:val="28"/>
          <w:szCs w:val="28"/>
          <w:rtl w:val="0"/>
        </w:rPr>
        <w:t xml:space="preserve">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7560"/>
        <w:tblGridChange w:id="0">
          <w:tblGrid>
            <w:gridCol w:w="1800"/>
            <w:gridCol w:w="7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Activity 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80" w:before="80"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ARENA is seeking </w:t>
            </w:r>
            <w:r w:rsidDel="00000000" w:rsidR="00000000" w:rsidRPr="00000000">
              <w:rPr>
                <w:rFonts w:ascii="Helvetica Neue" w:cs="Helvetica Neue" w:eastAsia="Helvetica Neue" w:hAnsi="Helvetica Neue"/>
                <w:b w:val="1"/>
                <w:color w:val="333333"/>
                <w:rtl w:val="0"/>
              </w:rPr>
              <w:t xml:space="preserve">demonstration projects</w:t>
            </w:r>
            <w:r w:rsidDel="00000000" w:rsidR="00000000" w:rsidRPr="00000000">
              <w:rPr>
                <w:rFonts w:ascii="Helvetica Neue" w:cs="Helvetica Neue" w:eastAsia="Helvetica Neue" w:hAnsi="Helvetica Neue"/>
                <w:color w:val="333333"/>
                <w:rtl w:val="0"/>
              </w:rPr>
              <w:t xml:space="preserve"> that provide a proof-of-concept of one or more power system services from new sources or technologies in the context of increasing shares of renewable energy.</w:t>
            </w:r>
          </w:p>
          <w:p w:rsidR="00000000" w:rsidDel="00000000" w:rsidP="00000000" w:rsidRDefault="00000000" w:rsidRPr="00000000" w14:paraId="00000007">
            <w:pPr>
              <w:widowControl w:val="0"/>
              <w:spacing w:after="80" w:before="80"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Power system services in scope </w:t>
            </w:r>
            <w:r w:rsidDel="00000000" w:rsidR="00000000" w:rsidRPr="00000000">
              <w:rPr>
                <w:rFonts w:ascii="Helvetica Neue" w:cs="Helvetica Neue" w:eastAsia="Helvetica Neue" w:hAnsi="Helvetica Neue"/>
                <w:color w:val="333333"/>
                <w:rtl w:val="0"/>
              </w:rPr>
              <w:t xml:space="preserve">include</w:t>
            </w:r>
            <w:r w:rsidDel="00000000" w:rsidR="00000000" w:rsidRPr="00000000">
              <w:rPr>
                <w:rFonts w:ascii="Helvetica Neue" w:cs="Helvetica Neue" w:eastAsia="Helvetica Neue" w:hAnsi="Helvetica Neue"/>
                <w:color w:val="333333"/>
                <w:rtl w:val="0"/>
              </w:rPr>
              <w:t xml:space="preserve">:</w:t>
            </w:r>
          </w:p>
          <w:p w:rsidR="00000000" w:rsidDel="00000000" w:rsidP="00000000" w:rsidRDefault="00000000" w:rsidRPr="00000000" w14:paraId="00000008">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System strength provision or measurement;</w:t>
            </w:r>
            <w:r w:rsidDel="00000000" w:rsidR="00000000" w:rsidRPr="00000000">
              <w:rPr>
                <w:rFonts w:ascii="Helvetica Neue" w:cs="Helvetica Neue" w:eastAsia="Helvetica Neue" w:hAnsi="Helvetica Neue"/>
                <w:color w:val="333333"/>
                <w:vertAlign w:val="superscript"/>
              </w:rPr>
              <w:footnoteReference w:customMarkFollows="0" w:id="0"/>
            </w: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09">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Frequency Control Ancillary Services (FCAS);</w:t>
            </w:r>
            <w:r w:rsidDel="00000000" w:rsidR="00000000" w:rsidRPr="00000000">
              <w:rPr>
                <w:rFonts w:ascii="Helvetica Neue" w:cs="Helvetica Neue" w:eastAsia="Helvetica Neue" w:hAnsi="Helvetica Neue"/>
                <w:color w:val="333333"/>
                <w:vertAlign w:val="superscript"/>
              </w:rPr>
              <w:footnoteReference w:customMarkFollows="0" w:id="1"/>
            </w:r>
            <w:r w:rsidDel="00000000" w:rsidR="00000000" w:rsidRPr="00000000">
              <w:rPr>
                <w:rtl w:val="0"/>
              </w:rPr>
            </w:r>
          </w:p>
          <w:p w:rsidR="00000000" w:rsidDel="00000000" w:rsidP="00000000" w:rsidRDefault="00000000" w:rsidRPr="00000000" w14:paraId="0000000A">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Fast frequency response (FFR);</w:t>
            </w:r>
            <w:r w:rsidDel="00000000" w:rsidR="00000000" w:rsidRPr="00000000">
              <w:rPr>
                <w:rFonts w:ascii="Helvetica Neue" w:cs="Helvetica Neue" w:eastAsia="Helvetica Neue" w:hAnsi="Helvetica Neue"/>
                <w:color w:val="333333"/>
                <w:vertAlign w:val="superscript"/>
              </w:rPr>
              <w:footnoteReference w:customMarkFollows="0" w:id="2"/>
            </w:r>
            <w:r w:rsidDel="00000000" w:rsidR="00000000" w:rsidRPr="00000000">
              <w:rPr>
                <w:rtl w:val="0"/>
              </w:rPr>
            </w:r>
          </w:p>
          <w:p w:rsidR="00000000" w:rsidDel="00000000" w:rsidP="00000000" w:rsidRDefault="00000000" w:rsidRPr="00000000" w14:paraId="0000000B">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Inertia</w:t>
            </w: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color w:val="333333"/>
                <w:rtl w:val="0"/>
              </w:rPr>
              <w:t xml:space="preserve">provision or</w:t>
            </w:r>
            <w:r w:rsidDel="00000000" w:rsidR="00000000" w:rsidRPr="00000000">
              <w:rPr>
                <w:rFonts w:ascii="Helvetica Neue" w:cs="Helvetica Neue" w:eastAsia="Helvetica Neue" w:hAnsi="Helvetica Neue"/>
                <w:color w:val="333333"/>
                <w:rtl w:val="0"/>
              </w:rPr>
              <w:t xml:space="preserve"> inertia measurement</w:t>
            </w:r>
            <w:r w:rsidDel="00000000" w:rsidR="00000000" w:rsidRPr="00000000">
              <w:rPr>
                <w:rFonts w:ascii="Helvetica Neue" w:cs="Helvetica Neue" w:eastAsia="Helvetica Neue" w:hAnsi="Helvetica Neue"/>
                <w:color w:val="333333"/>
                <w:rtl w:val="0"/>
              </w:rPr>
              <w:t xml:space="preserve">;</w:t>
            </w:r>
            <w:r w:rsidDel="00000000" w:rsidR="00000000" w:rsidRPr="00000000">
              <w:rPr>
                <w:rFonts w:ascii="Helvetica Neue" w:cs="Helvetica Neue" w:eastAsia="Helvetica Neue" w:hAnsi="Helvetica Neue"/>
                <w:color w:val="333333"/>
                <w:vertAlign w:val="superscript"/>
              </w:rPr>
              <w:footnoteReference w:customMarkFollows="0" w:id="3"/>
            </w:r>
            <w:r w:rsidDel="00000000" w:rsidR="00000000" w:rsidRPr="00000000">
              <w:rPr>
                <w:rFonts w:ascii="Helvetica Neue" w:cs="Helvetica Neue" w:eastAsia="Helvetica Neue" w:hAnsi="Helvetica Neue"/>
                <w:color w:val="333333"/>
                <w:rtl w:val="0"/>
              </w:rPr>
              <w:t xml:space="preserve"> and/or</w:t>
            </w:r>
          </w:p>
          <w:p w:rsidR="00000000" w:rsidDel="00000000" w:rsidP="00000000" w:rsidRDefault="00000000" w:rsidRPr="00000000" w14:paraId="0000000C">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Other services that may enhance system security</w:t>
            </w:r>
            <w:r w:rsidDel="00000000" w:rsidR="00000000" w:rsidRPr="00000000">
              <w:rPr>
                <w:rFonts w:ascii="Helvetica Neue" w:cs="Helvetica Neue" w:eastAsia="Helvetica Neue" w:hAnsi="Helvetica Neue"/>
                <w:color w:val="333333"/>
                <w:rtl w:val="0"/>
              </w:rPr>
              <w:t xml:space="preserve">.</w:t>
            </w:r>
            <w:r w:rsidDel="00000000" w:rsidR="00000000" w:rsidRPr="00000000">
              <w:rPr>
                <w:rFonts w:ascii="Helvetica Neue" w:cs="Helvetica Neue" w:eastAsia="Helvetica Neue" w:hAnsi="Helvetica Neue"/>
                <w:color w:val="333333"/>
                <w:vertAlign w:val="superscript"/>
              </w:rPr>
              <w:footnoteReference w:customMarkFollows="0" w:id="4"/>
            </w:r>
            <w:r w:rsidDel="00000000" w:rsidR="00000000" w:rsidRPr="00000000">
              <w:rPr>
                <w:rtl w:val="0"/>
              </w:rPr>
            </w:r>
          </w:p>
          <w:p w:rsidR="00000000" w:rsidDel="00000000" w:rsidP="00000000" w:rsidRDefault="00000000" w:rsidRPr="00000000" w14:paraId="0000000D">
            <w:pPr>
              <w:widowControl w:val="0"/>
              <w:spacing w:after="80" w:before="80"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ARENA is targeting demonstration projects that are able to </w:t>
            </w:r>
            <w:r w:rsidDel="00000000" w:rsidR="00000000" w:rsidRPr="00000000">
              <w:rPr>
                <w:rFonts w:ascii="Helvetica Neue" w:cs="Helvetica Neue" w:eastAsia="Helvetica Neue" w:hAnsi="Helvetica Neue"/>
                <w:color w:val="333333"/>
                <w:rtl w:val="0"/>
              </w:rPr>
              <w:t xml:space="preserve">commence testing of power system services immediately or in the near future</w:t>
            </w:r>
            <w:r w:rsidDel="00000000" w:rsidR="00000000" w:rsidRPr="00000000">
              <w:rPr>
                <w:rFonts w:ascii="Helvetica Neue" w:cs="Helvetica Neue" w:eastAsia="Helvetica Neue" w:hAnsi="Helvetica Neue"/>
                <w:color w:val="333333"/>
                <w:rtl w:val="0"/>
              </w:rPr>
              <w:t xml:space="preserve"> to </w:t>
            </w:r>
            <w:r w:rsidDel="00000000" w:rsidR="00000000" w:rsidRPr="00000000">
              <w:rPr>
                <w:rFonts w:ascii="Helvetica Neue" w:cs="Helvetica Neue" w:eastAsia="Helvetica Neue" w:hAnsi="Helvetica Neue"/>
                <w:b w:val="1"/>
                <w:color w:val="333333"/>
                <w:rtl w:val="0"/>
              </w:rPr>
              <w:t xml:space="preserve">deliver results by </w:t>
            </w:r>
            <w:r w:rsidDel="00000000" w:rsidR="00000000" w:rsidRPr="00000000">
              <w:rPr>
                <w:rFonts w:ascii="Helvetica Neue" w:cs="Helvetica Neue" w:eastAsia="Helvetica Neue" w:hAnsi="Helvetica Neue"/>
                <w:b w:val="1"/>
                <w:color w:val="333333"/>
                <w:rtl w:val="0"/>
              </w:rPr>
              <w:t xml:space="preserve">no later than 31 December 2019</w:t>
            </w:r>
            <w:r w:rsidDel="00000000" w:rsidR="00000000" w:rsidRPr="00000000">
              <w:rPr>
                <w:rFonts w:ascii="Helvetica Neue" w:cs="Helvetica Neue" w:eastAsia="Helvetica Neue" w:hAnsi="Helvetica Neue"/>
                <w:color w:val="333333"/>
                <w:rtl w:val="0"/>
              </w:rPr>
              <w:t xml:space="preserve">.</w:t>
            </w:r>
            <w:r w:rsidDel="00000000" w:rsidR="00000000" w:rsidRPr="00000000">
              <w:rPr>
                <w:rtl w:val="0"/>
              </w:rPr>
            </w:r>
          </w:p>
          <w:p w:rsidR="00000000" w:rsidDel="00000000" w:rsidP="00000000" w:rsidRDefault="00000000" w:rsidRPr="00000000" w14:paraId="0000000E">
            <w:pPr>
              <w:widowControl w:val="0"/>
              <w:spacing w:after="80" w:before="80" w:line="240" w:lineRule="auto"/>
              <w:contextualSpacing w:val="0"/>
              <w:rPr>
                <w:rFonts w:ascii="Helvetica Neue" w:cs="Helvetica Neue" w:eastAsia="Helvetica Neue" w:hAnsi="Helvetica Neue"/>
                <w:strike w:val="1"/>
                <w:color w:val="333333"/>
              </w:rPr>
            </w:pPr>
            <w:r w:rsidDel="00000000" w:rsidR="00000000" w:rsidRPr="00000000">
              <w:rPr>
                <w:rFonts w:ascii="Helvetica Neue" w:cs="Helvetica Neue" w:eastAsia="Helvetica Neue" w:hAnsi="Helvetica Neue"/>
                <w:b w:val="1"/>
                <w:color w:val="333333"/>
                <w:rtl w:val="0"/>
              </w:rPr>
              <w:t xml:space="preserve">Exclusions: </w:t>
            </w:r>
            <w:r w:rsidDel="00000000" w:rsidR="00000000" w:rsidRPr="00000000">
              <w:rPr>
                <w:rFonts w:ascii="Helvetica Neue" w:cs="Helvetica Neue" w:eastAsia="Helvetica Neue" w:hAnsi="Helvetica Neue"/>
                <w:color w:val="333333"/>
                <w:rtl w:val="0"/>
              </w:rPr>
              <w:t xml:space="preserve">Demonstration projects which use distributed energy resources which are on the consumer side of the meter (i.e. </w:t>
            </w:r>
            <w:r w:rsidDel="00000000" w:rsidR="00000000" w:rsidRPr="00000000">
              <w:rPr>
                <w:rFonts w:ascii="Helvetica Neue" w:cs="Helvetica Neue" w:eastAsia="Helvetica Neue" w:hAnsi="Helvetica Neue"/>
                <w:color w:val="333333"/>
                <w:rtl w:val="0"/>
              </w:rPr>
              <w:t xml:space="preserve">behind-the-meter</w:t>
            </w:r>
            <w:r w:rsidDel="00000000" w:rsidR="00000000" w:rsidRPr="00000000">
              <w:rPr>
                <w:rFonts w:ascii="Helvetica Neue" w:cs="Helvetica Neue" w:eastAsia="Helvetica Neue" w:hAnsi="Helvetica Neue"/>
                <w:color w:val="333333"/>
                <w:rtl w:val="0"/>
              </w:rPr>
              <w:t xml:space="preserve">) are excluded from the scope of this funding announcement. ARENA has already completed funding initiatives for these types of projects.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Funding Announcement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80" w:before="80"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Projects will be considered of higher merit where they address some or all of the funding announcement outcomes described below</w:t>
            </w:r>
            <w:r w:rsidDel="00000000" w:rsidR="00000000" w:rsidRPr="00000000">
              <w:rPr>
                <w:rFonts w:ascii="Helvetica Neue" w:cs="Helvetica Neue" w:eastAsia="Helvetica Neue" w:hAnsi="Helvetica Neue"/>
                <w:color w:val="333333"/>
                <w:rtl w:val="0"/>
              </w:rPr>
              <w:t xml:space="preserve">: </w:t>
            </w:r>
            <w:r w:rsidDel="00000000" w:rsidR="00000000" w:rsidRPr="00000000">
              <w:rPr>
                <w:rtl w:val="0"/>
              </w:rPr>
            </w:r>
          </w:p>
          <w:p w:rsidR="00000000" w:rsidDel="00000000" w:rsidP="00000000" w:rsidRDefault="00000000" w:rsidRPr="00000000" w14:paraId="00000011">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Provide a</w:t>
            </w:r>
            <w:r w:rsidDel="00000000" w:rsidR="00000000" w:rsidRPr="00000000">
              <w:rPr>
                <w:rFonts w:ascii="Helvetica Neue" w:cs="Helvetica Neue" w:eastAsia="Helvetica Neue" w:hAnsi="Helvetica Neue"/>
                <w:i w:val="1"/>
                <w:color w:val="333333"/>
                <w:rtl w:val="0"/>
              </w:rPr>
              <w:t xml:space="preserve"> </w:t>
            </w:r>
            <w:r w:rsidDel="00000000" w:rsidR="00000000" w:rsidRPr="00000000">
              <w:rPr>
                <w:rFonts w:ascii="Helvetica Neue" w:cs="Helvetica Neue" w:eastAsia="Helvetica Neue" w:hAnsi="Helvetica Neue"/>
                <w:b w:val="1"/>
                <w:color w:val="333333"/>
                <w:rtl w:val="0"/>
              </w:rPr>
              <w:t xml:space="preserve">technical assessment </w:t>
            </w:r>
            <w:r w:rsidDel="00000000" w:rsidR="00000000" w:rsidRPr="00000000">
              <w:rPr>
                <w:rFonts w:ascii="Helvetica Neue" w:cs="Helvetica Neue" w:eastAsia="Helvetica Neue" w:hAnsi="Helvetica Neue"/>
                <w:color w:val="333333"/>
                <w:rtl w:val="0"/>
              </w:rPr>
              <w:t xml:space="preserve">of the provision of system services from innovative methods or technologies;</w:t>
            </w:r>
          </w:p>
          <w:p w:rsidR="00000000" w:rsidDel="00000000" w:rsidP="00000000" w:rsidRDefault="00000000" w:rsidRPr="00000000" w14:paraId="00000012">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Provide </w:t>
            </w:r>
            <w:r w:rsidDel="00000000" w:rsidR="00000000" w:rsidRPr="00000000">
              <w:rPr>
                <w:rFonts w:ascii="Helvetica Neue" w:cs="Helvetica Neue" w:eastAsia="Helvetica Neue" w:hAnsi="Helvetica Neue"/>
                <w:b w:val="1"/>
                <w:color w:val="333333"/>
                <w:rtl w:val="0"/>
              </w:rPr>
              <w:t xml:space="preserve">economic analysis </w:t>
            </w:r>
            <w:r w:rsidDel="00000000" w:rsidR="00000000" w:rsidRPr="00000000">
              <w:rPr>
                <w:rFonts w:ascii="Helvetica Neue" w:cs="Helvetica Neue" w:eastAsia="Helvetica Neue" w:hAnsi="Helvetica Neue"/>
                <w:color w:val="333333"/>
                <w:rtl w:val="0"/>
              </w:rPr>
              <w:t xml:space="preserve">of the viability of providing these system services, or examining the trade-offs for asset or power system operators in providing them vs. wholesale energy or other services;</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80" w:line="240" w:lineRule="auto"/>
              <w:ind w:left="720" w:right="0" w:hanging="360"/>
              <w:contextualSpacing w:val="1"/>
              <w:jc w:val="left"/>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Inform the design of potential future </w:t>
            </w:r>
            <w:r w:rsidDel="00000000" w:rsidR="00000000" w:rsidRPr="00000000">
              <w:rPr>
                <w:rFonts w:ascii="Helvetica Neue" w:cs="Helvetica Neue" w:eastAsia="Helvetica Neue" w:hAnsi="Helvetica Neue"/>
                <w:b w:val="1"/>
                <w:color w:val="333333"/>
                <w:rtl w:val="0"/>
              </w:rPr>
              <w:t xml:space="preserve">markets </w:t>
            </w:r>
            <w:r w:rsidDel="00000000" w:rsidR="00000000" w:rsidRPr="00000000">
              <w:rPr>
                <w:rFonts w:ascii="Helvetica Neue" w:cs="Helvetica Neue" w:eastAsia="Helvetica Neue" w:hAnsi="Helvetica Neue"/>
                <w:color w:val="333333"/>
                <w:rtl w:val="0"/>
              </w:rPr>
              <w:t xml:space="preserve">and/or </w:t>
            </w:r>
            <w:r w:rsidDel="00000000" w:rsidR="00000000" w:rsidRPr="00000000">
              <w:rPr>
                <w:rFonts w:ascii="Helvetica Neue" w:cs="Helvetica Neue" w:eastAsia="Helvetica Neue" w:hAnsi="Helvetica Neue"/>
                <w:b w:val="1"/>
                <w:color w:val="333333"/>
                <w:rtl w:val="0"/>
              </w:rPr>
              <w:t xml:space="preserve">regulations </w:t>
            </w:r>
            <w:r w:rsidDel="00000000" w:rsidR="00000000" w:rsidRPr="00000000">
              <w:rPr>
                <w:rFonts w:ascii="Helvetica Neue" w:cs="Helvetica Neue" w:eastAsia="Helvetica Neue" w:hAnsi="Helvetica Neue"/>
                <w:color w:val="333333"/>
                <w:rtl w:val="0"/>
              </w:rPr>
              <w:t xml:space="preserve">for system services; and/or</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80" w:line="240" w:lineRule="auto"/>
              <w:ind w:left="720" w:right="0" w:hanging="360"/>
              <w:contextualSpacing w:val="1"/>
              <w:jc w:val="left"/>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Improve the </w:t>
            </w:r>
            <w:r w:rsidDel="00000000" w:rsidR="00000000" w:rsidRPr="00000000">
              <w:rPr>
                <w:rFonts w:ascii="Helvetica Neue" w:cs="Helvetica Neue" w:eastAsia="Helvetica Neue" w:hAnsi="Helvetica Neue"/>
                <w:b w:val="1"/>
                <w:color w:val="333333"/>
                <w:rtl w:val="0"/>
              </w:rPr>
              <w:t xml:space="preserve">commercial and technical readiness</w:t>
            </w:r>
            <w:r w:rsidDel="00000000" w:rsidR="00000000" w:rsidRPr="00000000">
              <w:rPr>
                <w:rFonts w:ascii="Helvetica Neue" w:cs="Helvetica Neue" w:eastAsia="Helvetica Neue" w:hAnsi="Helvetica Neue"/>
                <w:color w:val="333333"/>
                <w:rtl w:val="0"/>
              </w:rPr>
              <w:t xml:space="preserve"> of system services provision from </w:t>
            </w:r>
            <w:r w:rsidDel="00000000" w:rsidR="00000000" w:rsidRPr="00000000">
              <w:rPr>
                <w:rFonts w:ascii="Helvetica Neue" w:cs="Helvetica Neue" w:eastAsia="Helvetica Neue" w:hAnsi="Helvetica Neue"/>
                <w:rtl w:val="0"/>
              </w:rPr>
              <w:t xml:space="preserve">new </w:t>
            </w:r>
            <w:r w:rsidDel="00000000" w:rsidR="00000000" w:rsidRPr="00000000">
              <w:rPr>
                <w:rFonts w:ascii="Helvetica Neue" w:cs="Helvetica Neue" w:eastAsia="Helvetica Neue" w:hAnsi="Helvetica Neue"/>
                <w:color w:val="333333"/>
                <w:rtl w:val="0"/>
              </w:rPr>
              <w:t xml:space="preserve">sources and technologies.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80" w:before="80" w:line="240" w:lineRule="auto"/>
              <w:ind w:right="0"/>
              <w:contextualSpacing w:val="0"/>
              <w:jc w:val="left"/>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16">
            <w:pPr>
              <w:widowControl w:val="0"/>
              <w:spacing w:after="80" w:before="80"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Projects will be considered of higher merit where they address power system security issues which are </w:t>
            </w:r>
            <w:r w:rsidDel="00000000" w:rsidR="00000000" w:rsidRPr="00000000">
              <w:rPr>
                <w:rFonts w:ascii="Helvetica Neue" w:cs="Helvetica Neue" w:eastAsia="Helvetica Neue" w:hAnsi="Helvetica Neue"/>
                <w:color w:val="333333"/>
                <w:rtl w:val="0"/>
              </w:rPr>
              <w:t xml:space="preserve">currently</w:t>
            </w:r>
            <w:r w:rsidDel="00000000" w:rsidR="00000000" w:rsidRPr="00000000">
              <w:rPr>
                <w:rFonts w:ascii="Helvetica Neue" w:cs="Helvetica Neue" w:eastAsia="Helvetica Neue" w:hAnsi="Helvetica Neue"/>
                <w:color w:val="333333"/>
                <w:rtl w:val="0"/>
              </w:rPr>
              <w:t xml:space="preserve"> relevant </w:t>
            </w:r>
            <w:r w:rsidDel="00000000" w:rsidR="00000000" w:rsidRPr="00000000">
              <w:rPr>
                <w:rFonts w:ascii="Helvetica Neue" w:cs="Helvetica Neue" w:eastAsia="Helvetica Neue" w:hAnsi="Helvetica Neue"/>
                <w:color w:val="333333"/>
                <w:rtl w:val="0"/>
              </w:rPr>
              <w:t xml:space="preserve">for the NEM</w:t>
            </w:r>
            <w:r w:rsidDel="00000000" w:rsidR="00000000" w:rsidRPr="00000000">
              <w:rPr>
                <w:rFonts w:ascii="Helvetica Neue" w:cs="Helvetica Neue" w:eastAsia="Helvetica Neue" w:hAnsi="Helvetica Neue"/>
                <w:color w:val="333333"/>
                <w:rtl w:val="0"/>
              </w:rPr>
              <w:t xml:space="preserve">, or anticipated to be relevant in the next 10 years</w:t>
            </w:r>
            <w:r w:rsidDel="00000000" w:rsidR="00000000" w:rsidRPr="00000000">
              <w:rPr>
                <w:rFonts w:ascii="Helvetica Neue" w:cs="Helvetica Neue" w:eastAsia="Helvetica Neue" w:hAnsi="Helvetica Neue"/>
                <w:color w:val="333333"/>
                <w:rtl w:val="0"/>
              </w:rPr>
              <w:t xml:space="preserve">: </w:t>
            </w:r>
            <w:r w:rsidDel="00000000" w:rsidR="00000000" w:rsidRPr="00000000">
              <w:rPr>
                <w:rtl w:val="0"/>
              </w:rPr>
            </w:r>
          </w:p>
          <w:p w:rsidR="00000000" w:rsidDel="00000000" w:rsidP="00000000" w:rsidRDefault="00000000" w:rsidRPr="00000000" w14:paraId="00000017">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System strength provision or measurement; </w:t>
            </w:r>
          </w:p>
          <w:p w:rsidR="00000000" w:rsidDel="00000000" w:rsidP="00000000" w:rsidRDefault="00000000" w:rsidRPr="00000000" w14:paraId="00000018">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Frequency control ancillary services (FCAS)</w:t>
            </w:r>
            <w:r w:rsidDel="00000000" w:rsidR="00000000" w:rsidRPr="00000000">
              <w:rPr>
                <w:rFonts w:ascii="Helvetica Neue" w:cs="Helvetica Neue" w:eastAsia="Helvetica Neue" w:hAnsi="Helvetica Neue"/>
                <w:color w:val="333333"/>
                <w:rtl w:val="0"/>
              </w:rPr>
              <w:t xml:space="preserve">; and</w:t>
            </w:r>
          </w:p>
          <w:p w:rsidR="00000000" w:rsidDel="00000000" w:rsidP="00000000" w:rsidRDefault="00000000" w:rsidRPr="00000000" w14:paraId="00000019">
            <w:pPr>
              <w:widowControl w:val="0"/>
              <w:numPr>
                <w:ilvl w:val="0"/>
                <w:numId w:val="2"/>
              </w:numPr>
              <w:spacing w:after="80" w:before="80" w:line="240" w:lineRule="auto"/>
              <w:ind w:left="720" w:hanging="360"/>
              <w:contextualSpacing w:val="1"/>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Fast frequency response (FFR).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Timeframes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EOIs will be accepted up until 5pm Australian Eastern Standard Time on</w:t>
            </w:r>
            <w:r w:rsidDel="00000000" w:rsidR="00000000" w:rsidRPr="00000000">
              <w:rPr>
                <w:rFonts w:ascii="Helvetica Neue" w:cs="Helvetica Neue" w:eastAsia="Helvetica Neue" w:hAnsi="Helvetica Neue"/>
                <w:b w:val="1"/>
                <w:color w:val="333333"/>
                <w:rtl w:val="0"/>
              </w:rPr>
              <w:t xml:space="preserve"> Tuesday 31 July 2018</w:t>
            </w:r>
            <w:r w:rsidDel="00000000" w:rsidR="00000000" w:rsidRPr="00000000">
              <w:rPr>
                <w:rFonts w:ascii="Helvetica Neue" w:cs="Helvetica Neue" w:eastAsia="Helvetica Neue" w:hAnsi="Helvetica Neue"/>
                <w:color w:val="333333"/>
                <w:rtl w:val="0"/>
              </w:rPr>
              <w:t xml:space="preserve">.</w:t>
            </w:r>
          </w:p>
          <w:p w:rsidR="00000000" w:rsidDel="00000000" w:rsidP="00000000" w:rsidRDefault="00000000" w:rsidRPr="00000000" w14:paraId="0000001C">
            <w:pPr>
              <w:widowControl w:val="0"/>
              <w:spacing w:line="240" w:lineRule="auto"/>
              <w:contextualSpacing w:val="0"/>
              <w:rPr>
                <w:rFonts w:ascii="Helvetica Neue" w:cs="Helvetica Neue" w:eastAsia="Helvetica Neue" w:hAnsi="Helvetica Neue"/>
                <w:color w:val="333333"/>
                <w:highlight w:val="white"/>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color w:val="333333"/>
                <w:rtl w:val="0"/>
              </w:rPr>
              <w:t xml:space="preserve">ARENA will notify applicants as to whether they have been invited to submit a Full Application within 3 to 6 weeks</w:t>
            </w:r>
            <w:r w:rsidDel="00000000" w:rsidR="00000000" w:rsidRPr="00000000">
              <w:rPr>
                <w:rFonts w:ascii="Helvetica Neue" w:cs="Helvetica Neue" w:eastAsia="Helvetica Neue" w:hAnsi="Helvetica Neue"/>
                <w:color w:val="333333"/>
                <w:rtl w:val="0"/>
              </w:rPr>
              <w:t xml:space="preserve"> of receipt of EOI</w:t>
            </w:r>
            <w:r w:rsidDel="00000000" w:rsidR="00000000" w:rsidRPr="00000000">
              <w:rPr>
                <w:rFonts w:ascii="Helvetica Neue" w:cs="Helvetica Neue" w:eastAsia="Helvetica Neue" w:hAnsi="Helvetica Neue"/>
                <w:color w:val="333333"/>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EOI assessment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ARENA and AEMO representatives will be assessing EOIs. EOIs will be assessed against the Merit Criteria as specified under the ARP Guidelines</w:t>
            </w:r>
            <w:r w:rsidDel="00000000" w:rsidR="00000000" w:rsidRPr="00000000">
              <w:rPr>
                <w:rFonts w:ascii="Helvetica Neue" w:cs="Helvetica Neue" w:eastAsia="Helvetica Neue" w:hAnsi="Helvetica Neue"/>
                <w:color w:val="333333"/>
                <w:rtl w:val="0"/>
              </w:rPr>
              <w:t xml:space="preserve"> and with regard to the information contained in this Funding Announcement</w:t>
            </w:r>
            <w:r w:rsidDel="00000000" w:rsidR="00000000" w:rsidRPr="00000000">
              <w:rPr>
                <w:rFonts w:ascii="Helvetica Neue" w:cs="Helvetica Neue" w:eastAsia="Helvetica Neue" w:hAnsi="Helvetica Neue"/>
                <w:color w:val="333333"/>
                <w:rtl w:val="0"/>
              </w:rPr>
              <w:t xml:space="preserve"> (note: each Merit Criteri</w:t>
            </w:r>
            <w:r w:rsidDel="00000000" w:rsidR="00000000" w:rsidRPr="00000000">
              <w:rPr>
                <w:rFonts w:ascii="Helvetica Neue" w:cs="Helvetica Neue" w:eastAsia="Helvetica Neue" w:hAnsi="Helvetica Neue"/>
                <w:color w:val="333333"/>
                <w:rtl w:val="0"/>
              </w:rPr>
              <w:t xml:space="preserve">on</w:t>
            </w:r>
            <w:r w:rsidDel="00000000" w:rsidR="00000000" w:rsidRPr="00000000">
              <w:rPr>
                <w:rFonts w:ascii="Helvetica Neue" w:cs="Helvetica Neue" w:eastAsia="Helvetica Neue" w:hAnsi="Helvetica Neue"/>
                <w:color w:val="333333"/>
                <w:rtl w:val="0"/>
              </w:rPr>
              <w:t xml:space="preserve"> will be weighted equally)</w:t>
            </w: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20">
            <w:pPr>
              <w:spacing w:line="240" w:lineRule="auto"/>
              <w:contextualSpacing w:val="0"/>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21">
            <w:pPr>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Only EOIs that are assessed as satisfying all the merit criteria to a high standard (or can reach a high standard by meeting and conditions imposed by ARENA) will be invited to submit a Full Application.</w:t>
            </w:r>
            <w:r w:rsidDel="00000000" w:rsidR="00000000" w:rsidRPr="00000000">
              <w:rPr>
                <w:rFonts w:ascii="Helvetica Neue" w:cs="Helvetica Neue" w:eastAsia="Helvetica Neue" w:hAnsi="Helvetica Neue"/>
                <w:color w:val="333333"/>
                <w:rtl w:val="0"/>
              </w:rPr>
              <w:t xml:space="preserve"> </w:t>
              <w:tab/>
            </w:r>
          </w:p>
          <w:p w:rsidR="00000000" w:rsidDel="00000000" w:rsidP="00000000" w:rsidRDefault="00000000" w:rsidRPr="00000000" w14:paraId="00000022">
            <w:pPr>
              <w:spacing w:line="240" w:lineRule="auto"/>
              <w:contextualSpacing w:val="0"/>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23">
            <w:pPr>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Applicants should note that ARENA takes a portfolio approach to selecting Activities for funding, giving consideration to how an Activity will contribute to the Program Outcomes either uniquely or as part of a suite of complementary ARENA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Funding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color w:val="434343"/>
                <w:rtl w:val="0"/>
              </w:rPr>
              <w:t xml:space="preserve">ARENA </w:t>
            </w:r>
            <w:r w:rsidDel="00000000" w:rsidR="00000000" w:rsidRPr="00000000">
              <w:rPr>
                <w:rFonts w:ascii="Helvetica Neue" w:cs="Helvetica Neue" w:eastAsia="Helvetica Neue" w:hAnsi="Helvetica Neue"/>
                <w:color w:val="434343"/>
                <w:rtl w:val="0"/>
              </w:rPr>
              <w:t xml:space="preserve">proposes to</w:t>
            </w:r>
            <w:r w:rsidDel="00000000" w:rsidR="00000000" w:rsidRPr="00000000">
              <w:rPr>
                <w:rFonts w:ascii="Helvetica Neue" w:cs="Helvetica Neue" w:eastAsia="Helvetica Neue" w:hAnsi="Helvetica Neue"/>
                <w:color w:val="434343"/>
                <w:rtl w:val="0"/>
              </w:rPr>
              <w:t xml:space="preserve"> use the template Funding Agreement which is published on the ARENA website and available at </w:t>
            </w:r>
            <w:hyperlink r:id="rId9">
              <w:r w:rsidDel="00000000" w:rsidR="00000000" w:rsidRPr="00000000">
                <w:rPr>
                  <w:rFonts w:ascii="Helvetica Neue" w:cs="Helvetica Neue" w:eastAsia="Helvetica Neue" w:hAnsi="Helvetica Neue"/>
                  <w:color w:val="1155cc"/>
                  <w:u w:val="single"/>
                  <w:rtl w:val="0"/>
                </w:rPr>
                <w:t xml:space="preserve">https://arena.gov.au/funding/programs/advancing-renewables-program/</w:t>
              </w:r>
            </w:hyperlink>
            <w:r w:rsidDel="00000000" w:rsidR="00000000" w:rsidRPr="00000000">
              <w:rPr>
                <w:rtl w:val="0"/>
              </w:rPr>
            </w:r>
          </w:p>
          <w:p w:rsidR="00000000" w:rsidDel="00000000" w:rsidP="00000000" w:rsidRDefault="00000000" w:rsidRPr="00000000" w14:paraId="00000026">
            <w:pPr>
              <w:spacing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240" w:lineRule="auto"/>
              <w:contextualSpacing w:val="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Please note that the Funding Agreement template is subject to change; the final template version will be confirmed by ARENA.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‘Out of scope’ or ineligible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80" w:before="80" w:line="240" w:lineRule="auto"/>
              <w:contextualSpacing w:val="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As the Advancing Renewables Program is always open for submissions, high merit EOIs deemed ‘out of scope’ under this announcement may be directed to submit under normal ARP conditions. Contact </w:t>
            </w:r>
            <w:hyperlink r:id="rId10">
              <w:r w:rsidDel="00000000" w:rsidR="00000000" w:rsidRPr="00000000">
                <w:rPr>
                  <w:rFonts w:ascii="Helvetica Neue" w:cs="Helvetica Neue" w:eastAsia="Helvetica Neue" w:hAnsi="Helvetica Neue"/>
                  <w:color w:val="1155cc"/>
                  <w:u w:val="single"/>
                  <w:rtl w:val="0"/>
                </w:rPr>
                <w:t xml:space="preserve">proposals@arena.gov.au</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434343"/>
                <w:rtl w:val="0"/>
              </w:rPr>
              <w:t xml:space="preserve">for more information on this option. </w:t>
            </w:r>
          </w:p>
        </w:tc>
      </w:tr>
    </w:tbl>
    <w:p w:rsidR="00000000" w:rsidDel="00000000" w:rsidP="00000000" w:rsidRDefault="00000000" w:rsidRPr="00000000" w14:paraId="0000002A">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ARENA reserves the right to have flexibility on the processes outlined above.</w:t>
      </w:r>
    </w:p>
    <w:p w:rsidR="00000000" w:rsidDel="00000000" w:rsidP="00000000" w:rsidRDefault="00000000" w:rsidRPr="00000000" w14:paraId="0000002C">
      <w:pPr>
        <w:pStyle w:val="Heading2"/>
        <w:spacing w:after="200" w:line="240" w:lineRule="auto"/>
        <w:contextualSpacing w:val="0"/>
        <w:rPr>
          <w:rFonts w:ascii="Helvetica Neue" w:cs="Helvetica Neue" w:eastAsia="Helvetica Neue" w:hAnsi="Helvetica Neue"/>
          <w:b w:val="1"/>
          <w:color w:val="40a7ad"/>
          <w:sz w:val="28"/>
          <w:szCs w:val="28"/>
        </w:rPr>
      </w:pPr>
      <w:bookmarkStart w:colFirst="0" w:colLast="0" w:name="_oe3axo5b8uir" w:id="2"/>
      <w:bookmarkEnd w:id="2"/>
      <w:r w:rsidDel="00000000" w:rsidR="00000000" w:rsidRPr="00000000">
        <w:rPr>
          <w:rFonts w:ascii="Helvetica Neue" w:cs="Helvetica Neue" w:eastAsia="Helvetica Neue" w:hAnsi="Helvetica Neue"/>
          <w:b w:val="1"/>
          <w:color w:val="40a7ad"/>
          <w:sz w:val="28"/>
          <w:szCs w:val="28"/>
          <w:rtl w:val="0"/>
        </w:rPr>
        <w:t xml:space="preserve">De</w:t>
      </w:r>
      <w:r w:rsidDel="00000000" w:rsidR="00000000" w:rsidRPr="00000000">
        <w:rPr>
          <w:rFonts w:ascii="Helvetica Neue" w:cs="Helvetica Neue" w:eastAsia="Helvetica Neue" w:hAnsi="Helvetica Neue"/>
          <w:b w:val="1"/>
          <w:color w:val="40a7ad"/>
          <w:sz w:val="28"/>
          <w:szCs w:val="28"/>
          <w:rtl w:val="0"/>
        </w:rPr>
        <w:t xml:space="preserve">monstrating merit in ARENA’s grant application process</w:t>
      </w:r>
      <w:r w:rsidDel="00000000" w:rsidR="00000000" w:rsidRPr="00000000">
        <w:rPr>
          <w:rtl w:val="0"/>
        </w:rPr>
      </w:r>
    </w:p>
    <w:p w:rsidR="00000000" w:rsidDel="00000000" w:rsidP="00000000" w:rsidRDefault="00000000" w:rsidRPr="00000000" w14:paraId="0000002D">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434343"/>
          <w:rtl w:val="0"/>
        </w:rPr>
        <w:t xml:space="preserve">The table below provides examples to show how you can demonstrate your </w:t>
      </w:r>
      <w:r w:rsidDel="00000000" w:rsidR="00000000" w:rsidRPr="00000000">
        <w:rPr>
          <w:rFonts w:ascii="Helvetica Neue" w:cs="Helvetica Neue" w:eastAsia="Helvetica Neue" w:hAnsi="Helvetica Neue"/>
          <w:color w:val="434343"/>
          <w:rtl w:val="0"/>
        </w:rPr>
        <w:t xml:space="preserve">project</w:t>
      </w:r>
      <w:r w:rsidDel="00000000" w:rsidR="00000000" w:rsidRPr="00000000">
        <w:rPr>
          <w:rFonts w:ascii="Helvetica Neue" w:cs="Helvetica Neue" w:eastAsia="Helvetica Neue" w:hAnsi="Helvetica Neue"/>
          <w:color w:val="434343"/>
          <w:rtl w:val="0"/>
        </w:rPr>
        <w:t xml:space="preserve"> </w:t>
      </w:r>
      <w:r w:rsidDel="00000000" w:rsidR="00000000" w:rsidRPr="00000000">
        <w:rPr>
          <w:rFonts w:ascii="Helvetica Neue" w:cs="Helvetica Neue" w:eastAsia="Helvetica Neue" w:hAnsi="Helvetica Neue"/>
          <w:color w:val="434343"/>
          <w:rtl w:val="0"/>
        </w:rPr>
        <w:t xml:space="preserve">or Activity </w:t>
      </w:r>
      <w:r w:rsidDel="00000000" w:rsidR="00000000" w:rsidRPr="00000000">
        <w:rPr>
          <w:rFonts w:ascii="Helvetica Neue" w:cs="Helvetica Neue" w:eastAsia="Helvetica Neue" w:hAnsi="Helvetica Neue"/>
          <w:color w:val="434343"/>
          <w:rtl w:val="0"/>
        </w:rPr>
        <w:t xml:space="preserve">meet</w:t>
      </w:r>
      <w:r w:rsidDel="00000000" w:rsidR="00000000" w:rsidRPr="00000000">
        <w:rPr>
          <w:rFonts w:ascii="Helvetica Neue" w:cs="Helvetica Neue" w:eastAsia="Helvetica Neue" w:hAnsi="Helvetica Neue"/>
          <w:color w:val="434343"/>
          <w:rtl w:val="0"/>
        </w:rPr>
        <w:t xml:space="preserve">s</w:t>
      </w:r>
      <w:r w:rsidDel="00000000" w:rsidR="00000000" w:rsidRPr="00000000">
        <w:rPr>
          <w:rFonts w:ascii="Helvetica Neue" w:cs="Helvetica Neue" w:eastAsia="Helvetica Neue" w:hAnsi="Helvetica Neue"/>
          <w:color w:val="434343"/>
          <w:rtl w:val="0"/>
        </w:rPr>
        <w:t xml:space="preserve"> the ARP merit criteria. </w:t>
      </w:r>
      <w:r w:rsidDel="00000000" w:rsidR="00000000" w:rsidRPr="00000000">
        <w:rPr>
          <w:rFonts w:ascii="Helvetica Neue" w:cs="Helvetica Neue" w:eastAsia="Helvetica Neue" w:hAnsi="Helvetica Neue"/>
          <w:color w:val="434343"/>
          <w:rtl w:val="0"/>
        </w:rPr>
        <w:t xml:space="preserve">Applications must clearly address each of these merit criteria. </w:t>
      </w:r>
      <w:r w:rsidDel="00000000" w:rsidR="00000000" w:rsidRPr="00000000">
        <w:rPr>
          <w:rFonts w:ascii="Helvetica Neue" w:cs="Helvetica Neue" w:eastAsia="Helvetica Neue" w:hAnsi="Helvetica Neue"/>
          <w:color w:val="434343"/>
          <w:rtl w:val="0"/>
        </w:rPr>
        <w:t xml:space="preserve">This guidance should be read alongside the</w:t>
      </w:r>
      <w:r w:rsidDel="00000000" w:rsidR="00000000" w:rsidRPr="00000000">
        <w:rPr>
          <w:rFonts w:ascii="Helvetica Neue" w:cs="Helvetica Neue" w:eastAsia="Helvetica Neue" w:hAnsi="Helvetica Neue"/>
          <w:rtl w:val="0"/>
        </w:rPr>
        <w:t xml:space="preserve"> </w:t>
      </w:r>
      <w:hyperlink r:id="rId11">
        <w:r w:rsidDel="00000000" w:rsidR="00000000" w:rsidRPr="00000000">
          <w:rPr>
            <w:rFonts w:ascii="Helvetica Neue" w:cs="Helvetica Neue" w:eastAsia="Helvetica Neue" w:hAnsi="Helvetica Neue"/>
            <w:color w:val="1155cc"/>
            <w:u w:val="single"/>
            <w:rtl w:val="0"/>
          </w:rPr>
          <w:t xml:space="preserve">ARENANet application form</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434343"/>
          <w:rtl w:val="0"/>
        </w:rPr>
        <w:t xml:space="preserve">and</w:t>
      </w:r>
      <w:r w:rsidDel="00000000" w:rsidR="00000000" w:rsidRPr="00000000">
        <w:rPr>
          <w:rFonts w:ascii="Helvetica Neue" w:cs="Helvetica Neue" w:eastAsia="Helvetica Neue" w:hAnsi="Helvetica Neue"/>
          <w:rtl w:val="0"/>
        </w:rPr>
        <w:t xml:space="preserve"> </w:t>
      </w:r>
      <w:hyperlink r:id="rId12">
        <w:r w:rsidDel="00000000" w:rsidR="00000000" w:rsidRPr="00000000">
          <w:rPr>
            <w:rFonts w:ascii="Helvetica Neue" w:cs="Helvetica Neue" w:eastAsia="Helvetica Neue" w:hAnsi="Helvetica Neue"/>
            <w:color w:val="1155cc"/>
            <w:u w:val="single"/>
            <w:rtl w:val="0"/>
          </w:rPr>
          <w:t xml:space="preserve">ARP Guidelines</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E">
      <w:pPr>
        <w:contextualSpacing w:val="0"/>
        <w:rPr>
          <w:rFonts w:ascii="Helvetica Neue" w:cs="Helvetica Neue" w:eastAsia="Helvetica Neue" w:hAnsi="Helvetica Neu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color w:val="40a7ad"/>
              </w:rPr>
            </w:pPr>
            <w:r w:rsidDel="00000000" w:rsidR="00000000" w:rsidRPr="00000000">
              <w:rPr>
                <w:rFonts w:ascii="Helvetica Neue" w:cs="Helvetica Neue" w:eastAsia="Helvetica Neue" w:hAnsi="Helvetica Neue"/>
                <w:b w:val="1"/>
                <w:color w:val="40a7ad"/>
                <w:rtl w:val="0"/>
              </w:rPr>
              <w:t xml:space="preserve">ARP merit criterion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color w:val="40a7ad"/>
              </w:rPr>
            </w:pPr>
            <w:r w:rsidDel="00000000" w:rsidR="00000000" w:rsidRPr="00000000">
              <w:rPr>
                <w:rFonts w:ascii="Helvetica Neue" w:cs="Helvetica Neue" w:eastAsia="Helvetica Neue" w:hAnsi="Helvetica Neue"/>
                <w:b w:val="1"/>
                <w:color w:val="40a7ad"/>
                <w:rtl w:val="0"/>
              </w:rPr>
              <w:t xml:space="preserve">How the criterion applies to this funding announcement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A – Contributes to the Program Outcomes (clauses 1.5, 3.3 and 3.4 of the ARP Program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434343"/>
                <w:rtl w:val="0"/>
              </w:rPr>
              <w:t xml:space="preserve">This criterion assesses how well the proposed project contributes to the ARP Program Outcomes, taking into account the investment priorities in the</w:t>
            </w:r>
            <w:r w:rsidDel="00000000" w:rsidR="00000000" w:rsidRPr="00000000">
              <w:rPr>
                <w:rFonts w:ascii="Helvetica Neue" w:cs="Helvetica Neue" w:eastAsia="Helvetica Neue" w:hAnsi="Helvetica Neue"/>
                <w:rtl w:val="0"/>
              </w:rPr>
              <w:t xml:space="preserve"> </w:t>
            </w:r>
            <w:hyperlink r:id="rId13">
              <w:r w:rsidDel="00000000" w:rsidR="00000000" w:rsidRPr="00000000">
                <w:rPr>
                  <w:rFonts w:ascii="Helvetica Neue" w:cs="Helvetica Neue" w:eastAsia="Helvetica Neue" w:hAnsi="Helvetica Neue"/>
                  <w:color w:val="1155cc"/>
                  <w:u w:val="single"/>
                  <w:rtl w:val="0"/>
                </w:rPr>
                <w:t xml:space="preserve">ARENA Investment Plan</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434343"/>
                <w:rtl w:val="0"/>
              </w:rPr>
              <w:t xml:space="preserve">and any relevant funding announcement documentation </w:t>
            </w:r>
            <w:r w:rsidDel="00000000" w:rsidR="00000000" w:rsidRPr="00000000">
              <w:rPr>
                <w:rFonts w:ascii="Helvetica Neue" w:cs="Helvetica Neue" w:eastAsia="Helvetica Neue" w:hAnsi="Helvetica Neue"/>
                <w:i w:val="1"/>
                <w:color w:val="434343"/>
                <w:rtl w:val="0"/>
              </w:rPr>
              <w:t xml:space="preserve">(such as this document including the information on the preceding pages)</w:t>
            </w:r>
            <w:r w:rsidDel="00000000" w:rsidR="00000000" w:rsidRPr="00000000">
              <w:rPr>
                <w:rFonts w:ascii="Helvetica Neue" w:cs="Helvetica Neue" w:eastAsia="Helvetica Neue" w:hAnsi="Helvetica Neue"/>
                <w:color w:val="434343"/>
                <w:rtl w:val="0"/>
              </w:rPr>
              <w:t xml:space="preserve">.</w:t>
            </w:r>
            <w:r w:rsidDel="00000000" w:rsidR="00000000" w:rsidRPr="00000000">
              <w:rPr>
                <w:rFonts w:ascii="Helvetica Neue" w:cs="Helvetica Neue" w:eastAsia="Helvetica Neue" w:hAnsi="Helvetica Neue"/>
                <w:rtl w:val="0"/>
              </w:rPr>
              <w:br w:type="textWrapping"/>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You can demonstrate merit against this criterion by describing:</w:t>
            </w:r>
          </w:p>
          <w:p w:rsidR="00000000" w:rsidDel="00000000" w:rsidP="00000000" w:rsidRDefault="00000000" w:rsidRPr="00000000" w14:paraId="00000034">
            <w:pPr>
              <w:widowControl w:val="0"/>
              <w:numPr>
                <w:ilvl w:val="0"/>
                <w:numId w:val="1"/>
              </w:numPr>
              <w:spacing w:line="240" w:lineRule="auto"/>
              <w:ind w:left="720" w:hanging="360"/>
              <w:contextualSpacing w:val="1"/>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how the proposed activities are a novel or innovative technology, technology application, or market, regulatory or commercial solution in the Australian market; and</w:t>
            </w:r>
          </w:p>
          <w:p w:rsidR="00000000" w:rsidDel="00000000" w:rsidP="00000000" w:rsidRDefault="00000000" w:rsidRPr="00000000" w14:paraId="00000035">
            <w:pPr>
              <w:widowControl w:val="0"/>
              <w:numPr>
                <w:ilvl w:val="0"/>
                <w:numId w:val="1"/>
              </w:numPr>
              <w:spacing w:line="240" w:lineRule="auto"/>
              <w:ind w:left="720" w:hanging="360"/>
              <w:contextualSpacing w:val="1"/>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how the proposed project will help support the growth of renewable energy in Australia, in particular by addressing power system requirements at lower cost or risk than alternatives.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B - Applicant capability and capacity (clauses 3.5 and 3.6 of the ARP Program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This criterion assesses your capability and capacity, as well as that of any Activity partners to, deliver the Activity. You should refer to the ARP Guidelines for further information.</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Activities which are NEM-connected, or from which learning can be directly applied to NEM operations, will be considered of higher merit.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C –</w:t>
            </w:r>
            <w:r w:rsidDel="00000000" w:rsidR="00000000" w:rsidRPr="00000000">
              <w:rPr>
                <w:rFonts w:ascii="Helvetica Neue" w:cs="Helvetica Neue" w:eastAsia="Helvetica Neue" w:hAnsi="Helvetica Neue"/>
                <w:color w:val="434343"/>
                <w:rtl w:val="0"/>
              </w:rPr>
              <w:t xml:space="preserve"> Activity </w:t>
            </w:r>
            <w:r w:rsidDel="00000000" w:rsidR="00000000" w:rsidRPr="00000000">
              <w:rPr>
                <w:rFonts w:ascii="Helvetica Neue" w:cs="Helvetica Neue" w:eastAsia="Helvetica Neue" w:hAnsi="Helvetica Neue"/>
                <w:color w:val="434343"/>
                <w:rtl w:val="0"/>
              </w:rPr>
              <w:t xml:space="preserve">design, </w:t>
              <w:br w:type="textWrapping"/>
              <w:t xml:space="preserve">methodology, risk and compliance (clauses 3 .7 and 3.8 of the ARP Program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This criterion assesses the Activity design and implementation approach, as well as risk and compliance matters.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Applicants are requested to specifically </w:t>
            </w:r>
            <w:r w:rsidDel="00000000" w:rsidR="00000000" w:rsidRPr="00000000">
              <w:rPr>
                <w:rFonts w:ascii="Helvetica Neue" w:cs="Helvetica Neue" w:eastAsia="Helvetica Neue" w:hAnsi="Helvetica Neue"/>
                <w:color w:val="434343"/>
                <w:rtl w:val="0"/>
              </w:rPr>
              <w:t xml:space="preserve">provide an overview of any cybersecurity risks, and their associated mitigation</w:t>
            </w:r>
            <w:r w:rsidDel="00000000" w:rsidR="00000000" w:rsidRPr="00000000">
              <w:rPr>
                <w:rFonts w:ascii="Helvetica Neue" w:cs="Helvetica Neue" w:eastAsia="Helvetica Neue" w:hAnsi="Helvetica Neue"/>
                <w:color w:val="434343"/>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You should refer to the ARP Guidelines for further information.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D – Financial viability and co-</w:t>
              <w:br w:type="textWrapping"/>
              <w:t xml:space="preserve">funding commitment (clauses 3.9 and 3.10 of the ARP Program Guidelines)</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This criterion assesses your financial capacity to deliver the Activity and whether the amount of ARENA funding sought and the total cost of the Activity are appropriate. You should refer to the ARP Guidelines for further information.</w:t>
            </w:r>
            <w:r w:rsidDel="00000000" w:rsidR="00000000" w:rsidRPr="00000000">
              <w:rPr>
                <w:rtl w:val="0"/>
              </w:rPr>
            </w:r>
          </w:p>
          <w:p w:rsidR="00000000" w:rsidDel="00000000" w:rsidP="00000000" w:rsidRDefault="00000000" w:rsidRPr="00000000" w14:paraId="00000042">
            <w:pPr>
              <w:widowControl w:val="0"/>
              <w:spacing w:line="240" w:lineRule="auto"/>
              <w:contextualSpacing w:val="0"/>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If you have received funding from any other government or regulatory sources you should demonstrate the need for additional funding from ARENA.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E – Knowledge sharing (clauses 3.11 and 3.12 of the ARP Program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This criterion assesses the knowledge generated by the Activity in contributing to the ARP Outcomes.</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You can demonstrate merit against this criterion by describing</w:t>
            </w:r>
            <w:r w:rsidDel="00000000" w:rsidR="00000000" w:rsidRPr="00000000">
              <w:rPr>
                <w:rFonts w:ascii="Helvetica Neue" w:cs="Helvetica Neue" w:eastAsia="Helvetica Neue" w:hAnsi="Helvetica Neue"/>
                <w:color w:val="434343"/>
                <w:rtl w:val="0"/>
              </w:rPr>
              <w:t xml:space="preserve">:</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the value of the knowledge expected to be generated by the Activity and its contribution to industry understanding of system security</w:t>
            </w:r>
            <w:r w:rsidDel="00000000" w:rsidR="00000000" w:rsidRPr="00000000">
              <w:rPr>
                <w:rFonts w:ascii="Helvetica Neue" w:cs="Helvetica Neue" w:eastAsia="Helvetica Neue" w:hAnsi="Helvetica Neue"/>
                <w:color w:val="434343"/>
                <w:rtl w:val="0"/>
              </w:rPr>
              <w:t xml:space="preserve"> services</w:t>
            </w:r>
            <w:r w:rsidDel="00000000" w:rsidR="00000000" w:rsidRPr="00000000">
              <w:rPr>
                <w:rFonts w:ascii="Helvetica Neue" w:cs="Helvetica Neue" w:eastAsia="Helvetica Neue" w:hAnsi="Helvetica Neue"/>
                <w:color w:val="434343"/>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the types of data, including market participation, generation, accuracy and performance data, that will be made available to AEMO, ARENA and other industry stakeholders as part of the project; and</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how knowledge and insights generated from your project will be shared with relevant audiences.</w:t>
            </w:r>
            <w:r w:rsidDel="00000000" w:rsidR="00000000" w:rsidRPr="00000000">
              <w:rPr>
                <w:rtl w:val="0"/>
              </w:rPr>
            </w:r>
          </w:p>
        </w:tc>
      </w:tr>
    </w:tbl>
    <w:p w:rsidR="00000000" w:rsidDel="00000000" w:rsidP="00000000" w:rsidRDefault="00000000" w:rsidRPr="00000000" w14:paraId="0000004B">
      <w:pPr>
        <w:contextualSpacing w:val="0"/>
        <w:rPr>
          <w:rFonts w:ascii="Helvetica Neue" w:cs="Helvetica Neue" w:eastAsia="Helvetica Neue" w:hAnsi="Helvetica Neue"/>
        </w:rPr>
      </w:pPr>
      <w:r w:rsidDel="00000000" w:rsidR="00000000" w:rsidRPr="00000000">
        <w:rPr>
          <w:rtl w:val="0"/>
        </w:rPr>
      </w:r>
    </w:p>
    <w:sectPr>
      <w:headerReference r:id="rId14" w:type="default"/>
      <w:headerReference r:id="rId15" w:type="first"/>
      <w:footerReference r:id="rId16" w:type="default"/>
      <w:footerReference r:id="rId1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contextualSpacing w:val="0"/>
      <w:rPr>
        <w:rFonts w:ascii="Helvetica Neue" w:cs="Helvetica Neue" w:eastAsia="Helvetica Neue" w:hAnsi="Helvetica Neue"/>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ARENA Power System Services Funding Announcement </w:t>
    </w:r>
    <w:r w:rsidDel="00000000" w:rsidR="00000000" w:rsidRPr="00000000">
      <w:rPr>
        <w:rFonts w:ascii="Helvetica Neue" w:cs="Helvetica Neue" w:eastAsia="Helvetica Neue" w:hAnsi="Helvetica Neue"/>
        <w:sz w:val="16"/>
        <w:szCs w:val="16"/>
        <w:rtl w:val="0"/>
      </w:rPr>
      <w:tab/>
      <w:tab/>
      <w:tab/>
      <w:tab/>
      <w:tab/>
      <w:tab/>
      <w:tab/>
      <w:t xml:space="preserve">Page </w:t>
    </w:r>
    <w:r w:rsidDel="00000000" w:rsidR="00000000" w:rsidRPr="00000000">
      <w:rPr>
        <w:rFonts w:ascii="Helvetica Neue" w:cs="Helvetica Neue" w:eastAsia="Helvetica Neue" w:hAnsi="Helvetica Neue"/>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contextualSpacing w:val="0"/>
      <w:rPr>
        <w:rFonts w:ascii="Helvetica Neue" w:cs="Helvetica Neue" w:eastAsia="Helvetica Neue" w:hAnsi="Helvetica Neue"/>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Fonts w:ascii="Helvetica Neue" w:cs="Helvetica Neue" w:eastAsia="Helvetica Neue" w:hAnsi="Helvetica Neue"/>
        <w:b w:val="1"/>
        <w:sz w:val="16"/>
        <w:szCs w:val="16"/>
        <w:rtl w:val="0"/>
      </w:rPr>
      <w:t xml:space="preserve">ARENA Power System Services Funding Announcement </w:t>
    </w:r>
    <w:r w:rsidDel="00000000" w:rsidR="00000000" w:rsidRPr="00000000">
      <w:rPr>
        <w:rFonts w:ascii="Helvetica Neue" w:cs="Helvetica Neue" w:eastAsia="Helvetica Neue" w:hAnsi="Helvetica Neue"/>
        <w:sz w:val="16"/>
        <w:szCs w:val="16"/>
        <w:rtl w:val="0"/>
      </w:rPr>
      <w:tab/>
      <w:tab/>
      <w:tab/>
      <w:tab/>
      <w:tab/>
      <w:tab/>
      <w:tab/>
      <w:t xml:space="preserve">Page </w:t>
    </w:r>
    <w:r w:rsidDel="00000000" w:rsidR="00000000" w:rsidRPr="00000000">
      <w:rPr>
        <w:rFonts w:ascii="Helvetica Neue" w:cs="Helvetica Neue" w:eastAsia="Helvetica Neue" w:hAnsi="Helvetica Neue"/>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53">
      <w:pPr>
        <w:spacing w:line="240" w:lineRule="auto"/>
        <w:contextualSpacing w:val="0"/>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FFR: The delivery of a rapid active power increase or decrease by generation or load in a timeframe of </w:t>
      </w:r>
      <w:r w:rsidDel="00000000" w:rsidR="00000000" w:rsidRPr="00000000">
        <w:rPr>
          <w:sz w:val="14"/>
          <w:szCs w:val="14"/>
          <w:rtl w:val="0"/>
        </w:rPr>
        <w:t xml:space="preserve">two seconds</w:t>
      </w:r>
      <w:r w:rsidDel="00000000" w:rsidR="00000000" w:rsidRPr="00000000">
        <w:rPr>
          <w:sz w:val="14"/>
          <w:szCs w:val="14"/>
          <w:rtl w:val="0"/>
        </w:rPr>
        <w:t xml:space="preserve"> or less.</w:t>
      </w:r>
    </w:p>
  </w:footnote>
  <w:footnote w:id="4">
    <w:p w:rsidR="00000000" w:rsidDel="00000000" w:rsidP="00000000" w:rsidRDefault="00000000" w:rsidRPr="00000000" w14:paraId="00000054">
      <w:pPr>
        <w:spacing w:line="240" w:lineRule="auto"/>
        <w:contextualSpacing w:val="0"/>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System security: The ability of the power system to be able to operate within defined technical limits (‘secure operation’), and the ability to return to secure operating limits if there is an incident or disturbance, such as the loss of a major transmission line or large generator.</w:t>
      </w:r>
    </w:p>
  </w:footnote>
  <w:footnote w:id="0">
    <w:p w:rsidR="00000000" w:rsidDel="00000000" w:rsidP="00000000" w:rsidRDefault="00000000" w:rsidRPr="00000000" w14:paraId="00000055">
      <w:pPr>
        <w:spacing w:line="240" w:lineRule="auto"/>
        <w:contextualSpacing w:val="0"/>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System strength</w:t>
      </w:r>
      <w:r w:rsidDel="00000000" w:rsidR="00000000" w:rsidRPr="00000000">
        <w:rPr>
          <w:sz w:val="14"/>
          <w:szCs w:val="14"/>
          <w:rtl w:val="0"/>
        </w:rPr>
        <w:t xml:space="preserve">: A measure of the robustness of a local system’s voltage for a change to the load or generation at a given location. </w:t>
      </w:r>
      <w:r w:rsidDel="00000000" w:rsidR="00000000" w:rsidRPr="00000000">
        <w:rPr>
          <w:sz w:val="14"/>
          <w:szCs w:val="14"/>
          <w:rtl w:val="0"/>
        </w:rPr>
        <w:t xml:space="preserve">System strength can be measured by the availability of fault current at a given location. High fault levels are generally found in a strong power system while low fault levels are representative of a weak power system.</w:t>
      </w:r>
    </w:p>
  </w:footnote>
  <w:footnote w:id="1">
    <w:p w:rsidR="00000000" w:rsidDel="00000000" w:rsidP="00000000" w:rsidRDefault="00000000" w:rsidRPr="00000000" w14:paraId="00000056">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4"/>
          <w:szCs w:val="14"/>
          <w:rtl w:val="0"/>
        </w:rPr>
        <w:t xml:space="preserve">FCAS: </w:t>
      </w:r>
      <w:r w:rsidDel="00000000" w:rsidR="00000000" w:rsidRPr="00000000">
        <w:rPr>
          <w:sz w:val="14"/>
          <w:szCs w:val="14"/>
          <w:rtl w:val="0"/>
        </w:rPr>
        <w:t xml:space="preserve">Services that can be utilised</w:t>
      </w:r>
      <w:r w:rsidDel="00000000" w:rsidR="00000000" w:rsidRPr="00000000">
        <w:rPr>
          <w:sz w:val="14"/>
          <w:szCs w:val="14"/>
          <w:rtl w:val="0"/>
        </w:rPr>
        <w:t xml:space="preserve"> to maintain grid frequency within secure operating limits by employing a raise or lower service (delivery or removal of active power from the network).</w:t>
      </w:r>
      <w:r w:rsidDel="00000000" w:rsidR="00000000" w:rsidRPr="00000000">
        <w:rPr>
          <w:rtl w:val="0"/>
        </w:rPr>
      </w:r>
    </w:p>
  </w:footnote>
  <w:footnote w:id="3">
    <w:p w:rsidR="00000000" w:rsidDel="00000000" w:rsidP="00000000" w:rsidRDefault="00000000" w:rsidRPr="00000000" w14:paraId="00000057">
      <w:pPr>
        <w:spacing w:line="240" w:lineRule="auto"/>
        <w:contextualSpacing w:val="0"/>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Inertia: A quality of the grid that reduces the rate of change of frequency (RoCoF), traditionally supplied by synchronous generators.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contextualSpacing w:val="0"/>
      <w:jc w:val="right"/>
      <w:rPr/>
    </w:pPr>
    <w:r w:rsidDel="00000000" w:rsidR="00000000" w:rsidRPr="00000000">
      <w:rPr>
        <w:rtl w:val="0"/>
      </w:rPr>
    </w:r>
  </w:p>
  <w:p w:rsidR="00000000" w:rsidDel="00000000" w:rsidP="00000000" w:rsidRDefault="00000000" w:rsidRPr="00000000" w14:paraId="0000004D">
    <w:pPr>
      <w:contextualSpacing w:val="0"/>
      <w:jc w:val="right"/>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before="360" w:lineRule="auto"/>
      <w:contextualSpacing w:val="0"/>
      <w:jc w:val="right"/>
      <w:rPr>
        <w:b w:val="1"/>
        <w:sz w:val="28"/>
        <w:szCs w:val="28"/>
        <w:u w:val="single"/>
      </w:rPr>
    </w:pPr>
    <w:r w:rsidDel="00000000" w:rsidR="00000000" w:rsidRPr="00000000">
      <w:rPr/>
      <w:drawing>
        <wp:inline distB="114300" distT="114300" distL="114300" distR="114300">
          <wp:extent cx="2519363" cy="47238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19363" cy="472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renaomnistar.f1solutions.com.au/" TargetMode="External"/><Relationship Id="rId10" Type="http://schemas.openxmlformats.org/officeDocument/2006/relationships/hyperlink" Target="mailto:proposals@arena.gov.au" TargetMode="External"/><Relationship Id="rId13" Type="http://schemas.openxmlformats.org/officeDocument/2006/relationships/hyperlink" Target="https://arena.gov.au/about/funding-strategy-investment-plan/" TargetMode="External"/><Relationship Id="rId12" Type="http://schemas.openxmlformats.org/officeDocument/2006/relationships/hyperlink" Target="https://arena.gov.au/funding/programs/advancing-renewables-progr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rena.gov.au/funding/programs/advancing-renewables-program/"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rena.gov.au/assets/2017/05/ARENA_ARP_Guidelines_FA_Single_Pages_LORES.pdf" TargetMode="External"/><Relationship Id="rId8" Type="http://schemas.openxmlformats.org/officeDocument/2006/relationships/hyperlink" Target="https://arenaomnistar.f1solutions.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